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7B7" w:rsidRDefault="004512E6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</wp:posOffset>
            </wp:positionH>
            <wp:positionV relativeFrom="paragraph">
              <wp:posOffset>-36449</wp:posOffset>
            </wp:positionV>
            <wp:extent cx="562356" cy="848106"/>
            <wp:effectExtent l="0" t="0" r="0" b="0"/>
            <wp:wrapSquare wrapText="bothSides"/>
            <wp:docPr id="367" name="Picture 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Picture 36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356" cy="848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43F60"/>
          <w:sz w:val="28"/>
        </w:rPr>
        <w:t>The University of Memphis</w:t>
      </w:r>
      <w:r>
        <w:t xml:space="preserve"> </w:t>
      </w:r>
    </w:p>
    <w:p w:rsidR="006967B7" w:rsidRDefault="004512E6">
      <w:pPr>
        <w:spacing w:after="38"/>
      </w:pPr>
      <w:r>
        <w:t xml:space="preserve"> </w:t>
      </w:r>
    </w:p>
    <w:p w:rsidR="006967B7" w:rsidRDefault="004512E6">
      <w:pPr>
        <w:spacing w:after="0" w:line="277" w:lineRule="auto"/>
      </w:pPr>
      <w:r>
        <w:rPr>
          <w:sz w:val="24"/>
        </w:rPr>
        <w:t>Managed Financial Conflicts of Interest (FCOI) with Research funded by Public Health Service (PHS)</w:t>
      </w:r>
      <w:r>
        <w:t xml:space="preserve"> </w:t>
      </w:r>
    </w:p>
    <w:p w:rsidR="006967B7" w:rsidRDefault="004512E6">
      <w:pPr>
        <w:spacing w:after="21"/>
      </w:pPr>
      <w:r>
        <w:t xml:space="preserve">                    </w:t>
      </w:r>
    </w:p>
    <w:p w:rsidR="006967B7" w:rsidRDefault="004512E6">
      <w:pPr>
        <w:spacing w:after="0"/>
      </w:pPr>
      <w:r>
        <w:t xml:space="preserve">                                                                        Current as of May 23, 2019</w:t>
      </w:r>
      <w:r>
        <w:t xml:space="preserve"> </w:t>
      </w:r>
    </w:p>
    <w:p w:rsidR="006967B7" w:rsidRDefault="004512E6">
      <w:pPr>
        <w:spacing w:after="205"/>
        <w:ind w:left="-30" w:right="-70"/>
      </w:pPr>
      <w:r>
        <w:rPr>
          <w:noProof/>
        </w:rPr>
        <mc:AlternateContent>
          <mc:Choice Requires="wpg">
            <w:drawing>
              <wp:inline distT="0" distB="0" distL="0" distR="0">
                <wp:extent cx="5981700" cy="19050"/>
                <wp:effectExtent l="0" t="0" r="0" b="0"/>
                <wp:docPr id="2259" name="Group 2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700" cy="19050"/>
                          <a:chOff x="0" y="0"/>
                          <a:chExt cx="5981700" cy="19050"/>
                        </a:xfrm>
                      </wpg:grpSpPr>
                      <wps:wsp>
                        <wps:cNvPr id="2368" name="Shape 2368"/>
                        <wps:cNvSpPr/>
                        <wps:spPr>
                          <a:xfrm>
                            <a:off x="0" y="0"/>
                            <a:ext cx="59817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700" h="19050">
                                <a:moveTo>
                                  <a:pt x="0" y="0"/>
                                </a:moveTo>
                                <a:lnTo>
                                  <a:pt x="5981700" y="0"/>
                                </a:lnTo>
                                <a:lnTo>
                                  <a:pt x="59817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59" style="width:471pt;height:1.5pt;mso-position-horizontal-relative:char;mso-position-vertical-relative:line" coordsize="59817,190">
                <v:shape id="Shape 2369" style="position:absolute;width:59817;height:190;left:0;top:0;" coordsize="5981700,19050" path="m0,0l5981700,0l5981700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9350" w:type="dxa"/>
        <w:tblInd w:w="5" w:type="dxa"/>
        <w:tblCellMar>
          <w:top w:w="50" w:type="dxa"/>
          <w:left w:w="108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2500"/>
        <w:gridCol w:w="6850"/>
      </w:tblGrid>
      <w:tr w:rsidR="006967B7">
        <w:trPr>
          <w:trHeight w:val="332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B7" w:rsidRDefault="004512E6">
            <w:pPr>
              <w:spacing w:after="0"/>
            </w:pPr>
            <w:r>
              <w:t xml:space="preserve">Date Disclosed: 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B7" w:rsidRDefault="004512E6">
            <w:pPr>
              <w:spacing w:after="0"/>
            </w:pPr>
            <w:r>
              <w:t>March 21, 2016, April 3, 2017, April 9, 2018, May 23, 2019</w:t>
            </w:r>
          </w:p>
        </w:tc>
      </w:tr>
      <w:tr w:rsidR="006967B7">
        <w:trPr>
          <w:trHeight w:val="278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B7" w:rsidRDefault="004512E6">
            <w:pPr>
              <w:spacing w:after="0"/>
            </w:pPr>
            <w:r>
              <w:t xml:space="preserve">Investigator with FCOI: 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B7" w:rsidRDefault="004512E6">
            <w:pPr>
              <w:spacing w:after="0"/>
            </w:pPr>
            <w:r>
              <w:t xml:space="preserve">Deepak Ganesan </w:t>
            </w:r>
          </w:p>
        </w:tc>
      </w:tr>
      <w:tr w:rsidR="006967B7">
        <w:trPr>
          <w:trHeight w:val="278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B7" w:rsidRDefault="004512E6">
            <w:pPr>
              <w:spacing w:after="0"/>
            </w:pPr>
            <w:r>
              <w:t xml:space="preserve">Title: 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B7" w:rsidRDefault="004512E6">
            <w:pPr>
              <w:spacing w:after="0"/>
            </w:pPr>
            <w:r>
              <w:t xml:space="preserve">Professor </w:t>
            </w:r>
          </w:p>
        </w:tc>
      </w:tr>
      <w:tr w:rsidR="006967B7">
        <w:trPr>
          <w:trHeight w:val="278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B7" w:rsidRDefault="004512E6">
            <w:pPr>
              <w:spacing w:after="0"/>
            </w:pPr>
            <w:r>
              <w:t xml:space="preserve">PHS Funding: 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B7" w:rsidRDefault="004512E6">
            <w:pPr>
              <w:spacing w:after="0"/>
            </w:pPr>
            <w:r>
              <w:t>NIH 1 U54 EB020404‐05</w:t>
            </w:r>
            <w:r>
              <w:t>, sub award # 5‐40315</w:t>
            </w:r>
            <w:bookmarkStart w:id="0" w:name="_GoBack"/>
            <w:bookmarkEnd w:id="0"/>
          </w:p>
        </w:tc>
      </w:tr>
      <w:tr w:rsidR="006967B7">
        <w:trPr>
          <w:trHeight w:val="547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B7" w:rsidRDefault="004512E6">
            <w:pPr>
              <w:spacing w:after="0"/>
              <w:ind w:right="21"/>
            </w:pPr>
            <w:r>
              <w:t xml:space="preserve">Role on Research Project: 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B7" w:rsidRDefault="004512E6">
            <w:pPr>
              <w:spacing w:after="0"/>
            </w:pPr>
            <w:r>
              <w:t xml:space="preserve">Co‐investigator, principal investigator at </w:t>
            </w:r>
            <w:r>
              <w:t xml:space="preserve">UMass Amherst </w:t>
            </w:r>
          </w:p>
        </w:tc>
      </w:tr>
      <w:tr w:rsidR="006967B7">
        <w:trPr>
          <w:trHeight w:val="816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B7" w:rsidRDefault="004512E6">
            <w:pPr>
              <w:spacing w:after="0"/>
            </w:pPr>
            <w:r>
              <w:t xml:space="preserve">Name of Entity in which </w:t>
            </w:r>
          </w:p>
          <w:p w:rsidR="006967B7" w:rsidRDefault="004512E6">
            <w:pPr>
              <w:spacing w:after="0"/>
            </w:pPr>
            <w:r>
              <w:t xml:space="preserve">Significant Financial Interest is held: 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B7" w:rsidRDefault="004512E6">
            <w:pPr>
              <w:spacing w:after="0"/>
            </w:pPr>
            <w:r>
              <w:t xml:space="preserve">New start‐up company, </w:t>
            </w:r>
            <w:proofErr w:type="spellStart"/>
            <w:r>
              <w:t>Lummé</w:t>
            </w:r>
            <w:proofErr w:type="spellEnd"/>
            <w:r>
              <w:t xml:space="preserve"> Inc. </w:t>
            </w:r>
          </w:p>
        </w:tc>
      </w:tr>
      <w:tr w:rsidR="006967B7">
        <w:trPr>
          <w:trHeight w:val="1085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B7" w:rsidRDefault="004512E6">
            <w:pPr>
              <w:spacing w:after="0"/>
            </w:pPr>
            <w:r>
              <w:t xml:space="preserve">Nature of the SFI: 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B7" w:rsidRDefault="004512E6">
            <w:pPr>
              <w:spacing w:after="0"/>
            </w:pPr>
            <w:r>
              <w:t xml:space="preserve">Prof. Ganesan has launched a </w:t>
            </w:r>
            <w:proofErr w:type="spellStart"/>
            <w:r>
              <w:t>start up</w:t>
            </w:r>
            <w:proofErr w:type="spellEnd"/>
            <w:r>
              <w:t xml:space="preserve"> company to commercialize aspects of the technology forming the basis of his </w:t>
            </w:r>
            <w:r>
              <w:t xml:space="preserve">research program (wearable sensors). He is a principal of </w:t>
            </w:r>
            <w:proofErr w:type="spellStart"/>
            <w:r>
              <w:t>Lummé</w:t>
            </w:r>
            <w:proofErr w:type="spellEnd"/>
            <w:r>
              <w:t xml:space="preserve"> Inc., and any equity in a private company constitutes a significant financial interest under the regulations. </w:t>
            </w:r>
          </w:p>
        </w:tc>
      </w:tr>
      <w:tr w:rsidR="006967B7">
        <w:trPr>
          <w:trHeight w:val="816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B7" w:rsidRDefault="004512E6">
            <w:pPr>
              <w:spacing w:after="0"/>
            </w:pPr>
            <w:r>
              <w:t xml:space="preserve">Approximate dollar value of the SFI: 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B7" w:rsidRDefault="004512E6">
            <w:pPr>
              <w:spacing w:after="0"/>
              <w:ind w:right="291"/>
            </w:pPr>
            <w:r>
              <w:t xml:space="preserve">The interest is one whose value cannot be </w:t>
            </w:r>
            <w:r>
              <w:t xml:space="preserve">readily determined through reference to public prices or other reasonable measures of fair market value </w:t>
            </w:r>
          </w:p>
        </w:tc>
      </w:tr>
    </w:tbl>
    <w:p w:rsidR="006967B7" w:rsidRDefault="004512E6">
      <w:pPr>
        <w:spacing w:after="0"/>
      </w:pPr>
      <w:r>
        <w:t xml:space="preserve"> </w:t>
      </w:r>
    </w:p>
    <w:sectPr w:rsidR="006967B7">
      <w:pgSz w:w="12240" w:h="15840"/>
      <w:pgMar w:top="1440" w:right="148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7B7"/>
    <w:rsid w:val="004512E6"/>
    <w:rsid w:val="0069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E3F29"/>
  <w15:docId w15:val="{29AD9B44-CDC1-44E8-8688-18B53FB7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PHS managed FCOI 2018.docx</vt:lpstr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PHS managed FCOI 2018.docx</dc:title>
  <dc:subject/>
  <dc:creator>laingram</dc:creator>
  <cp:keywords/>
  <cp:lastModifiedBy>Beverly Jacobik (bjacobik)</cp:lastModifiedBy>
  <cp:revision>2</cp:revision>
  <dcterms:created xsi:type="dcterms:W3CDTF">2019-06-04T18:28:00Z</dcterms:created>
  <dcterms:modified xsi:type="dcterms:W3CDTF">2019-06-04T18:28:00Z</dcterms:modified>
</cp:coreProperties>
</file>