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E1" w:rsidRPr="007D38E1" w:rsidRDefault="007D38E1" w:rsidP="007D38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7D38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National Survey of</w:t>
      </w:r>
      <w:r w:rsidR="00C93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 Student Engagement (NSSE), 2011</w:t>
      </w:r>
    </w:p>
    <w:p w:rsidR="007D38E1" w:rsidRPr="007D38E1" w:rsidRDefault="007D38E1" w:rsidP="007D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E6AB622" wp14:editId="5EDA3AD3">
            <wp:extent cx="2286000" cy="746760"/>
            <wp:effectExtent l="0" t="0" r="0" b="0"/>
            <wp:docPr id="1" name="Picture 1" descr="NSSE Logo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SE Logo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Available to colleges and universities since 2000, the </w:t>
      </w:r>
      <w:hyperlink r:id="rId8" w:history="1">
        <w:r w:rsidRPr="007D38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National Survey of Student Engagement (NSSE)</w:t>
        </w:r>
      </w:hyperlink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a widely adopted and respected assessment of collegiate quality. 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The University of Memphis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scores on the NSSE survey confirm the academic excellence, superior quality of instruction, and supportive environment students find at the 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university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7D38E1" w:rsidRPr="007D38E1" w:rsidRDefault="007D38E1" w:rsidP="007D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NSSE collects information each year from samples of first-year and senior students regarding their experiences at their chosen institution. The NSSE informatio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n presented below, from the 2011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survey, reflects the high level of satisfaction in the quality of academic and collegiate life that students experience at 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the University of Memphis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7D38E1" w:rsidRPr="007D38E1" w:rsidRDefault="007D38E1" w:rsidP="007D38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7D38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Benchmark Categories</w:t>
      </w:r>
    </w:p>
    <w:p w:rsidR="007D38E1" w:rsidRPr="007D38E1" w:rsidRDefault="007D38E1" w:rsidP="007D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DD3DD" wp14:editId="775596CE">
                <wp:simplePos x="0" y="0"/>
                <wp:positionH relativeFrom="column">
                  <wp:posOffset>2766060</wp:posOffset>
                </wp:positionH>
                <wp:positionV relativeFrom="paragraph">
                  <wp:posOffset>749300</wp:posOffset>
                </wp:positionV>
                <wp:extent cx="2468880" cy="7543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8E1" w:rsidRPr="000A3B04" w:rsidRDefault="007D38E1" w:rsidP="00231F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0A3B04">
                              <w:rPr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>The University of Memphis</w:t>
                            </w:r>
                          </w:p>
                          <w:p w:rsidR="007D38E1" w:rsidRPr="000A3B04" w:rsidRDefault="007D38E1" w:rsidP="00231F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8064A2" w:themeColor="accent4"/>
                                <w:sz w:val="26"/>
                                <w:szCs w:val="26"/>
                              </w:rPr>
                            </w:pPr>
                            <w:r w:rsidRPr="000A3B04">
                              <w:rPr>
                                <w:b/>
                                <w:color w:val="8064A2" w:themeColor="accent4"/>
                                <w:sz w:val="26"/>
                                <w:szCs w:val="26"/>
                              </w:rPr>
                              <w:t>Carnegie Peers</w:t>
                            </w:r>
                          </w:p>
                          <w:p w:rsidR="007D38E1" w:rsidRPr="000A3B04" w:rsidRDefault="007D38E1" w:rsidP="00231F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76923C" w:themeColor="accent3" w:themeShade="BF"/>
                                <w:sz w:val="26"/>
                                <w:szCs w:val="26"/>
                              </w:rPr>
                            </w:pPr>
                            <w:r w:rsidRPr="000A3B04">
                              <w:rPr>
                                <w:b/>
                                <w:color w:val="76923C" w:themeColor="accent3" w:themeShade="BF"/>
                                <w:sz w:val="26"/>
                                <w:szCs w:val="26"/>
                              </w:rPr>
                              <w:t>NSSE</w:t>
                            </w:r>
                          </w:p>
                          <w:p w:rsidR="00231F6B" w:rsidRDefault="00231F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8pt;margin-top:59pt;width:194.4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">
                <v:textbox>
                  <w:txbxContent>
                    <w:p w:rsidR="007D38E1" w:rsidRPr="000A3B04" w:rsidRDefault="007D38E1" w:rsidP="00231F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1F497D" w:themeColor="text2"/>
                          <w:sz w:val="26"/>
                          <w:szCs w:val="26"/>
                        </w:rPr>
                      </w:pPr>
                      <w:r w:rsidRPr="000A3B04">
                        <w:rPr>
                          <w:b/>
                          <w:color w:val="1F497D" w:themeColor="text2"/>
                          <w:sz w:val="26"/>
                          <w:szCs w:val="26"/>
                        </w:rPr>
                        <w:t>The University of Memphis</w:t>
                      </w:r>
                    </w:p>
                    <w:p w:rsidR="007D38E1" w:rsidRPr="000A3B04" w:rsidRDefault="007D38E1" w:rsidP="00231F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8064A2" w:themeColor="accent4"/>
                          <w:sz w:val="26"/>
                          <w:szCs w:val="26"/>
                        </w:rPr>
                      </w:pPr>
                      <w:r w:rsidRPr="000A3B04">
                        <w:rPr>
                          <w:b/>
                          <w:color w:val="8064A2" w:themeColor="accent4"/>
                          <w:sz w:val="26"/>
                          <w:szCs w:val="26"/>
                        </w:rPr>
                        <w:t>Carnegie Peers</w:t>
                      </w:r>
                    </w:p>
                    <w:p w:rsidR="007D38E1" w:rsidRPr="000A3B04" w:rsidRDefault="007D38E1" w:rsidP="00231F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76923C" w:themeColor="accent3" w:themeShade="BF"/>
                          <w:sz w:val="26"/>
                          <w:szCs w:val="26"/>
                        </w:rPr>
                      </w:pPr>
                      <w:r w:rsidRPr="000A3B04">
                        <w:rPr>
                          <w:b/>
                          <w:color w:val="76923C" w:themeColor="accent3" w:themeShade="BF"/>
                          <w:sz w:val="26"/>
                          <w:szCs w:val="26"/>
                        </w:rPr>
                        <w:t>NSSE</w:t>
                      </w:r>
                    </w:p>
                    <w:p w:rsidR="00231F6B" w:rsidRDefault="00231F6B"/>
                  </w:txbxContent>
                </v:textbox>
              </v:shape>
            </w:pict>
          </mc:Fallback>
        </mc:AlternateConten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Within the broader survey, NSSE has identified five Benchmarks of Effective Educational Practice that are particularly important indicators of learning and student development. NSSE benchmark scores reflect responses of first-year and senior students to questions from the survey in the following areas:</w:t>
      </w:r>
    </w:p>
    <w:p w:rsidR="007D38E1" w:rsidRPr="007D38E1" w:rsidRDefault="007D38E1" w:rsidP="007D3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Level of Academic Challenge</w:t>
      </w:r>
    </w:p>
    <w:p w:rsidR="007D38E1" w:rsidRPr="007D38E1" w:rsidRDefault="007D38E1" w:rsidP="007D3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Enriching Educational Experiences</w:t>
      </w:r>
    </w:p>
    <w:p w:rsidR="007D38E1" w:rsidRPr="007D38E1" w:rsidRDefault="007D38E1" w:rsidP="007D3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Student-Faculty Interaction</w:t>
      </w:r>
    </w:p>
    <w:p w:rsidR="007D38E1" w:rsidRPr="007D38E1" w:rsidRDefault="007D38E1" w:rsidP="007D3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Supportive Campus Environment</w:t>
      </w:r>
    </w:p>
    <w:p w:rsidR="007D38E1" w:rsidRPr="007D38E1" w:rsidRDefault="007D38E1" w:rsidP="007D38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Active and Col</w:t>
      </w:r>
      <w:bookmarkStart w:id="0" w:name="_GoBack"/>
      <w:bookmarkEnd w:id="0"/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>laborative Learning</w:t>
      </w:r>
    </w:p>
    <w:p w:rsidR="007D38E1" w:rsidRPr="007D38E1" w:rsidRDefault="007D38E1" w:rsidP="007D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five graphs below summarize 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the University of Memphis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scores in each benchmark area. The graph for each area indicates how 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the University of Memphis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compared to its Carnegie Peers (other national liberal arts institutions) and to all NSSE participants (the complete pool of institutions participating in NSSE). Below each graph is a sample question from that benchmark area on which first-year and senior students ranked </w:t>
      </w:r>
      <w:r w:rsidR="00C930B6">
        <w:rPr>
          <w:rFonts w:ascii="Times New Roman" w:eastAsia="Times New Roman" w:hAnsi="Times New Roman" w:cs="Times New Roman"/>
          <w:sz w:val="24"/>
          <w:szCs w:val="24"/>
          <w:lang w:val="en"/>
        </w:rPr>
        <w:t>the University of Memphis</w:t>
      </w:r>
      <w:r w:rsidRPr="007D38E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exceptionally high. </w:t>
      </w:r>
    </w:p>
    <w:p w:rsidR="007D38E1" w:rsidRPr="007D38E1" w:rsidRDefault="007D38E1" w:rsidP="007D38E1">
      <w:p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Cs w:val="24"/>
          <w:lang w:val="en"/>
        </w:rPr>
      </w:pP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t xml:space="preserve">Instances in which </w:t>
      </w:r>
      <w:r w:rsidR="00231F6B" w:rsidRPr="005A0161">
        <w:rPr>
          <w:rFonts w:ascii="Times New Roman" w:eastAsia="Times New Roman" w:hAnsi="Times New Roman" w:cs="Times New Roman"/>
          <w:color w:val="FF0000"/>
          <w:szCs w:val="24"/>
          <w:lang w:val="en"/>
        </w:rPr>
        <w:t>the University of Memphis</w:t>
      </w: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t xml:space="preserve"> scores were significantly higher than those for comparison groups (Carnegie Peers and NSSE participant schools) are marked as follows:</w:t>
      </w: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br/>
        <w:t xml:space="preserve">* Statistically significant </w:t>
      </w:r>
      <w:r w:rsidR="00231F6B" w:rsidRPr="005A0161">
        <w:rPr>
          <w:rFonts w:ascii="Times New Roman" w:eastAsia="Times New Roman" w:hAnsi="Times New Roman" w:cs="Times New Roman"/>
          <w:color w:val="FF0000"/>
          <w:szCs w:val="24"/>
          <w:lang w:val="en"/>
        </w:rPr>
        <w:t>University of Memphis</w:t>
      </w: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t xml:space="preserve"> score relative to comparison group (p&lt; .05 level</w:t>
      </w:r>
      <w:proofErr w:type="gramStart"/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t>)</w:t>
      </w:r>
      <w:proofErr w:type="gramEnd"/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br/>
        <w:t xml:space="preserve">** Greater significance of </w:t>
      </w:r>
      <w:r w:rsidR="00231F6B" w:rsidRPr="005A0161">
        <w:rPr>
          <w:rFonts w:ascii="Times New Roman" w:eastAsia="Times New Roman" w:hAnsi="Times New Roman" w:cs="Times New Roman"/>
          <w:color w:val="FF0000"/>
          <w:szCs w:val="24"/>
          <w:lang w:val="en"/>
        </w:rPr>
        <w:t>University of Memphis</w:t>
      </w: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t xml:space="preserve"> score relative to comparison group (p&lt;.01)</w:t>
      </w: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br/>
        <w:t xml:space="preserve">*** Greatest significance of </w:t>
      </w:r>
      <w:r w:rsidR="00231F6B" w:rsidRPr="005A0161">
        <w:rPr>
          <w:rFonts w:ascii="Times New Roman" w:eastAsia="Times New Roman" w:hAnsi="Times New Roman" w:cs="Times New Roman"/>
          <w:color w:val="FF0000"/>
          <w:szCs w:val="24"/>
          <w:lang w:val="en"/>
        </w:rPr>
        <w:t>University of Memphis</w:t>
      </w:r>
      <w:r w:rsidRPr="007D38E1">
        <w:rPr>
          <w:rFonts w:ascii="Times New Roman" w:eastAsia="Times New Roman" w:hAnsi="Times New Roman" w:cs="Times New Roman"/>
          <w:color w:val="FF0000"/>
          <w:szCs w:val="24"/>
          <w:lang w:val="en"/>
        </w:rPr>
        <w:t xml:space="preserve"> score relative to comparison group (p&lt;.001)</w:t>
      </w:r>
    </w:p>
    <w:p w:rsidR="006345C5" w:rsidRDefault="000A3B04"/>
    <w:p w:rsidR="007D38E1" w:rsidRDefault="007D38E1" w:rsidP="00EA6E83">
      <w:pPr>
        <w:jc w:val="center"/>
      </w:pPr>
      <w:r w:rsidRPr="003D5721">
        <w:rPr>
          <w:noProof/>
          <w:color w:val="4F81BD" w:themeColor="accent1"/>
        </w:rPr>
        <w:drawing>
          <wp:inline distT="0" distB="0" distL="0" distR="0" wp14:anchorId="2767FAA9" wp14:editId="5B07DAF8">
            <wp:extent cx="5722620" cy="299466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042F" w:rsidRDefault="008C042F">
      <w:pPr>
        <w:rPr>
          <w:lang w:val="en"/>
        </w:rPr>
      </w:pPr>
      <w:r>
        <w:rPr>
          <w:lang w:val="en"/>
        </w:rPr>
        <w:t>Sample LAC Question: How much has your coursework emphasized synthesizing and organizing ideas, information or experiences?</w:t>
      </w:r>
    </w:p>
    <w:p w:rsidR="008C042F" w:rsidRDefault="003D5721" w:rsidP="00021A5A">
      <w:pPr>
        <w:jc w:val="center"/>
      </w:pPr>
      <w:r w:rsidRPr="00021A5A">
        <w:rPr>
          <w:noProof/>
          <w:sz w:val="24"/>
          <w:szCs w:val="24"/>
        </w:rPr>
        <w:drawing>
          <wp:inline distT="0" distB="0" distL="0" distR="0" wp14:anchorId="5F99B9C4" wp14:editId="277889FE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1A5A" w:rsidRDefault="00021A5A">
      <w:pPr>
        <w:rPr>
          <w:lang w:val="en"/>
        </w:rPr>
      </w:pPr>
      <w:r>
        <w:rPr>
          <w:lang w:val="en"/>
        </w:rPr>
        <w:t>Sample EEE Question: How often have you had serious conversations with students who are very different from you in terms of their religious beliefs, political opinions or personal values?</w:t>
      </w:r>
    </w:p>
    <w:p w:rsidR="007B3B0D" w:rsidRDefault="007B3B0D">
      <w:r w:rsidRPr="00231F6B">
        <w:rPr>
          <w:noProof/>
          <w:color w:val="1F497D" w:themeColor="text2"/>
        </w:rPr>
        <w:lastRenderedPageBreak/>
        <w:drawing>
          <wp:inline distT="0" distB="0" distL="0" distR="0" wp14:anchorId="1FA7E9A4" wp14:editId="07BB0A07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3B0D" w:rsidRDefault="007B3B0D">
      <w:r>
        <w:rPr>
          <w:lang w:val="en"/>
        </w:rPr>
        <w:t>Sample SFI Question: How often have you discussed ideas from your readings or classes with faculty members outside of class?</w:t>
      </w:r>
    </w:p>
    <w:p w:rsidR="00231F6B" w:rsidRDefault="00C930B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393A" w:rsidRDefault="002B393A">
      <w:pPr>
        <w:rPr>
          <w:lang w:val="en"/>
        </w:rPr>
      </w:pPr>
      <w:r>
        <w:rPr>
          <w:lang w:val="en"/>
        </w:rPr>
        <w:t>Sample SCE Question: To what extent does your institution provide the support you need to help you succeed academically?</w:t>
      </w:r>
    </w:p>
    <w:p w:rsidR="004D4726" w:rsidRDefault="004D4726">
      <w:r w:rsidRPr="004D4726">
        <w:rPr>
          <w:noProof/>
          <w:color w:val="E36C0A" w:themeColor="accent6" w:themeShade="BF"/>
        </w:rPr>
        <w:lastRenderedPageBreak/>
        <w:drawing>
          <wp:inline distT="0" distB="0" distL="0" distR="0" wp14:anchorId="09005214" wp14:editId="6C598EA6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4726" w:rsidRDefault="004D4726">
      <w:pPr>
        <w:rPr>
          <w:lang w:val="en"/>
        </w:rPr>
      </w:pPr>
      <w:r>
        <w:rPr>
          <w:lang w:val="en"/>
        </w:rPr>
        <w:t>Sample ACL Question: How often have you discussed ideas from your readings or classes with others outside of class (students, family members, co-workers, etc.)?</w:t>
      </w:r>
    </w:p>
    <w:p w:rsidR="004D4726" w:rsidRDefault="004D4726">
      <w:pPr>
        <w:rPr>
          <w:lang w:val="en"/>
        </w:rPr>
      </w:pPr>
    </w:p>
    <w:p w:rsidR="004D4726" w:rsidRDefault="004D4726"/>
    <w:sectPr w:rsidR="004D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FC8"/>
    <w:multiLevelType w:val="multilevel"/>
    <w:tmpl w:val="CB7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95600"/>
    <w:multiLevelType w:val="hybridMultilevel"/>
    <w:tmpl w:val="534C0B4A"/>
    <w:lvl w:ilvl="0" w:tplc="81A40AC2">
      <w:start w:val="1"/>
      <w:numFmt w:val="bullet"/>
      <w:lvlText w:val="o"/>
      <w:lvlJc w:val="left"/>
      <w:pPr>
        <w:ind w:left="450" w:hanging="360"/>
      </w:pPr>
      <w:rPr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E1"/>
    <w:rsid w:val="00021A5A"/>
    <w:rsid w:val="000A3B04"/>
    <w:rsid w:val="001A793D"/>
    <w:rsid w:val="00231F6B"/>
    <w:rsid w:val="002B393A"/>
    <w:rsid w:val="003838C0"/>
    <w:rsid w:val="003D5721"/>
    <w:rsid w:val="0043617C"/>
    <w:rsid w:val="004D4726"/>
    <w:rsid w:val="005A0161"/>
    <w:rsid w:val="007B3B0D"/>
    <w:rsid w:val="007D38E1"/>
    <w:rsid w:val="008C042F"/>
    <w:rsid w:val="00C930B6"/>
    <w:rsid w:val="00E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8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1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8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1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se.iub.edu/" TargetMode="Externa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se.iub.edu/" TargetMode="Externa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Level of Academic Challenge (LAC)</a:t>
            </a:r>
          </a:p>
        </c:rich>
      </c:tx>
      <c:layout>
        <c:manualLayout>
          <c:xMode val="edge"/>
          <c:yMode val="edge"/>
          <c:x val="7.094984465157568E-2"/>
          <c:y val="2.544529262086513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University of Memphis</c:v>
                </c:pt>
              </c:strCache>
            </c:strRef>
          </c:tx>
          <c:spPr>
            <a:solidFill>
              <a:schemeClr val="tx2"/>
            </a:solidFill>
            <a:ln w="12700">
              <a:solidFill>
                <a:schemeClr val="tx1"/>
              </a:solidFill>
            </a:ln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770528184642702E-3"/>
                  <c:y val="-4.2408821034775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54</c:v>
                </c:pt>
                <c:pt idx="1">
                  <c:v>56.6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Carnegie Peers</c:v>
                </c:pt>
              </c:strCache>
            </c:strRef>
          </c:tx>
          <c:spPr>
            <a:solidFill>
              <a:schemeClr val="accent4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52</c:v>
                </c:pt>
                <c:pt idx="1">
                  <c:v>56.4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NSSE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1.3315579227696404E-2"/>
                  <c:y val="-4.2408821034775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53.3</c:v>
                </c:pt>
                <c:pt idx="1">
                  <c:v>56.7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635776"/>
        <c:axId val="100637312"/>
      </c:barChart>
      <c:catAx>
        <c:axId val="100635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1600" b="1">
                <a:solidFill>
                  <a:sysClr val="windowText" lastClr="000000"/>
                </a:solidFill>
              </a:defRPr>
            </a:pPr>
            <a:endParaRPr lang="en-US"/>
          </a:p>
        </c:txPr>
        <c:crossAx val="100637312"/>
        <c:crosses val="autoZero"/>
        <c:auto val="1"/>
        <c:lblAlgn val="ctr"/>
        <c:lblOffset val="100"/>
        <c:noMultiLvlLbl val="0"/>
      </c:catAx>
      <c:valAx>
        <c:axId val="100637312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0635776"/>
        <c:crosses val="autoZero"/>
        <c:crossBetween val="between"/>
        <c:majorUnit val="25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Enriching Educational Experiences</a:t>
            </a:r>
          </a:p>
        </c:rich>
      </c:tx>
      <c:layout>
        <c:manualLayout>
          <c:xMode val="edge"/>
          <c:yMode val="edge"/>
          <c:x val="7.2766112569262159E-2"/>
          <c:y val="4.365079365079364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University of Memphis</c:v>
                </c:pt>
              </c:strCache>
            </c:strRef>
          </c:tx>
          <c:spPr>
            <a:solidFill>
              <a:schemeClr val="tx2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28.8</c:v>
                </c:pt>
                <c:pt idx="1">
                  <c:v>38.799999999999997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Carnegie Peers</c:v>
                </c:pt>
              </c:strCache>
            </c:strRef>
          </c:tx>
          <c:spPr>
            <a:solidFill>
              <a:schemeClr val="accent4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28</c:v>
                </c:pt>
                <c:pt idx="1">
                  <c:v>39.9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NSSE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0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27.8</c:v>
                </c:pt>
                <c:pt idx="1">
                  <c:v>40.4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697600"/>
        <c:axId val="100699136"/>
      </c:barChart>
      <c:catAx>
        <c:axId val="10069760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600" b="1"/>
            </a:pPr>
            <a:endParaRPr lang="en-US"/>
          </a:p>
        </c:txPr>
        <c:crossAx val="100699136"/>
        <c:crosses val="autoZero"/>
        <c:auto val="1"/>
        <c:lblAlgn val="ctr"/>
        <c:lblOffset val="100"/>
        <c:noMultiLvlLbl val="0"/>
      </c:catAx>
      <c:valAx>
        <c:axId val="100699136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0697600"/>
        <c:crosses val="autoZero"/>
        <c:crossBetween val="between"/>
        <c:majorUnit val="25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Student-Faculty</a:t>
            </a:r>
            <a:r>
              <a:rPr lang="en-US" baseline="0"/>
              <a:t> Interaction</a:t>
            </a:r>
            <a:endParaRPr lang="en-US"/>
          </a:p>
        </c:rich>
      </c:tx>
      <c:layout>
        <c:manualLayout>
          <c:xMode val="edge"/>
          <c:yMode val="edge"/>
          <c:x val="7.4924722951297748E-2"/>
          <c:y val="3.571428571428571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The University of Memphis</c:v>
                </c:pt>
              </c:strCache>
            </c:strRef>
          </c:tx>
          <c:spPr>
            <a:solidFill>
              <a:schemeClr val="tx2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38.5</c:v>
                </c:pt>
                <c:pt idx="1">
                  <c:v>42.6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Carnegie Peers</c:v>
                </c:pt>
              </c:strCache>
            </c:strRef>
          </c:tx>
          <c:spPr>
            <a:solidFill>
              <a:schemeClr val="accent4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33.299999999999997</c:v>
                </c:pt>
                <c:pt idx="1">
                  <c:v>40.799999999999997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NSSE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34.4</c:v>
                </c:pt>
                <c:pt idx="1">
                  <c:v>41.9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975936"/>
        <c:axId val="101977472"/>
      </c:barChart>
      <c:catAx>
        <c:axId val="10197593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01977472"/>
        <c:crosses val="autoZero"/>
        <c:auto val="1"/>
        <c:lblAlgn val="ctr"/>
        <c:lblOffset val="100"/>
        <c:noMultiLvlLbl val="0"/>
      </c:catAx>
      <c:valAx>
        <c:axId val="101977472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1975936"/>
        <c:crosses val="autoZero"/>
        <c:crossBetween val="between"/>
        <c:majorUnit val="25"/>
        <c:minorUnit val="0.1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Supportive Campus Environment</a:t>
            </a:r>
          </a:p>
        </c:rich>
      </c:tx>
      <c:layout>
        <c:manualLayout>
          <c:xMode val="edge"/>
          <c:yMode val="edge"/>
          <c:x val="7.2447871099445893E-2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The University of Memphis</c:v>
                </c:pt>
              </c:strCache>
            </c:strRef>
          </c:tx>
          <c:spPr>
            <a:solidFill>
              <a:schemeClr val="tx2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62.4</c:v>
                </c:pt>
                <c:pt idx="1">
                  <c:v>58.5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Carnegie Peers</c:v>
                </c:pt>
              </c:strCache>
            </c:strRef>
          </c:tx>
          <c:spPr>
            <a:solidFill>
              <a:schemeClr val="accent4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61.5</c:v>
                </c:pt>
                <c:pt idx="1">
                  <c:v>57.3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NSSE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62.7</c:v>
                </c:pt>
                <c:pt idx="1">
                  <c:v>59.1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205696"/>
        <c:axId val="102207488"/>
      </c:barChart>
      <c:catAx>
        <c:axId val="1022056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02207488"/>
        <c:crosses val="autoZero"/>
        <c:auto val="1"/>
        <c:lblAlgn val="ctr"/>
        <c:lblOffset val="100"/>
        <c:noMultiLvlLbl val="0"/>
      </c:catAx>
      <c:valAx>
        <c:axId val="102207488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2205696"/>
        <c:crosses val="autoZero"/>
        <c:crossBetween val="between"/>
        <c:majorUnit val="25"/>
        <c:minorUnit val="0.2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Active and Collaborative Learning</a:t>
            </a:r>
          </a:p>
        </c:rich>
      </c:tx>
      <c:layout>
        <c:manualLayout>
          <c:xMode val="edge"/>
          <c:yMode val="edge"/>
          <c:x val="6.4577500729075532E-2"/>
          <c:y val="3.96825396825396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The University of Memphis</c:v>
                </c:pt>
              </c:strCache>
            </c:strRef>
          </c:tx>
          <c:spPr>
            <a:solidFill>
              <a:schemeClr val="tx2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43.9</c:v>
                </c:pt>
                <c:pt idx="1">
                  <c:v>51.6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Carnegie Peers</c:v>
                </c:pt>
              </c:strCache>
            </c:strRef>
          </c:tx>
          <c:spPr>
            <a:solidFill>
              <a:schemeClr val="accent4"/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42.2</c:v>
                </c:pt>
                <c:pt idx="1">
                  <c:v>50.5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NSSE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First-Year</c:v>
                </c:pt>
                <c:pt idx="1">
                  <c:v>Senior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43.1</c:v>
                </c:pt>
                <c:pt idx="1">
                  <c:v>51.3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829824"/>
        <c:axId val="100848000"/>
      </c:barChart>
      <c:catAx>
        <c:axId val="10082982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00848000"/>
        <c:crosses val="autoZero"/>
        <c:auto val="1"/>
        <c:lblAlgn val="ctr"/>
        <c:lblOffset val="100"/>
        <c:noMultiLvlLbl val="0"/>
      </c:catAx>
      <c:valAx>
        <c:axId val="10084800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0829824"/>
        <c:crosses val="autoZero"/>
        <c:crossBetween val="between"/>
        <c:majorUnit val="25"/>
        <c:minorUnit val="2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 Powell (kjpowell)</dc:creator>
  <cp:lastModifiedBy>Kevin J Powell (kjpowell)</cp:lastModifiedBy>
  <cp:revision>3</cp:revision>
  <dcterms:created xsi:type="dcterms:W3CDTF">2012-01-18T21:46:00Z</dcterms:created>
  <dcterms:modified xsi:type="dcterms:W3CDTF">2012-01-18T21:47:00Z</dcterms:modified>
</cp:coreProperties>
</file>