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23802306" w:rsidR="00A20DB9" w:rsidRPr="00A20DB9" w:rsidRDefault="0035784B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Inactivation of an Existing Academic Program or Concentration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672A24DD" w14:textId="77777777" w:rsidR="004A5529" w:rsidRPr="005B03BA" w:rsidRDefault="004A5529" w:rsidP="004A552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6D523F3" w14:textId="77777777" w:rsidR="004A5529" w:rsidRPr="005B03BA" w:rsidRDefault="004A5529" w:rsidP="004A552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49D1102C" w14:textId="77777777" w:rsidR="004A5529" w:rsidRDefault="004A5529" w:rsidP="004A552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4663B3A" w14:textId="6E60FEA4" w:rsidR="004A5529" w:rsidRPr="00630049" w:rsidRDefault="004A5529" w:rsidP="004A5529">
      <w:pPr>
        <w:pStyle w:val="ListParagraph"/>
        <w:widowControl w:val="0"/>
        <w:numPr>
          <w:ilvl w:val="0"/>
          <w:numId w:val="7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Contact person:  </w:t>
      </w: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10FB18B5" w14:textId="77777777" w:rsidR="004A5529" w:rsidRDefault="004A5529" w:rsidP="004A552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0BEF9C51" w14:textId="77777777" w:rsidR="004A5529" w:rsidRPr="00630049" w:rsidRDefault="004A5529" w:rsidP="004A552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024C8AA0" w14:textId="77777777" w:rsidR="004A5529" w:rsidRPr="00A20DB9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4D6EBC45" w14:textId="77777777" w:rsidR="004A5529" w:rsidRPr="000A1E18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2C3979FD" w14:textId="77777777" w:rsidR="004A5529" w:rsidRPr="00630049" w:rsidRDefault="004A5529" w:rsidP="004A552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34099E00" w14:textId="77777777" w:rsidR="004A5529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FFF3D97" w14:textId="77777777" w:rsidR="004A5529" w:rsidRPr="00794D36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DEAB0A9" w14:textId="77777777" w:rsidR="004A5529" w:rsidRPr="00630049" w:rsidRDefault="004A5529" w:rsidP="004A552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1F87FEF7" w14:textId="77777777" w:rsidR="004A5529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3F4D0CB7" w14:textId="77777777" w:rsidR="004A5529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9EDB129" w14:textId="77777777" w:rsidR="004A5529" w:rsidRPr="00630049" w:rsidRDefault="004A5529" w:rsidP="004A552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7EB21BDA" w14:textId="77777777" w:rsidR="004A5529" w:rsidRPr="00A20DB9" w:rsidRDefault="004A5529" w:rsidP="004A552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11E36F9C" w14:textId="77777777" w:rsidR="004A5529" w:rsidRPr="00A20DB9" w:rsidRDefault="004A5529" w:rsidP="004A5529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05CC656A" w14:textId="77777777" w:rsidR="0035784B" w:rsidRDefault="0035784B" w:rsidP="0035784B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237606">
        <w:rPr>
          <w:rFonts w:ascii="Open Sans" w:hAnsi="Open Sans" w:cs="Open Sans"/>
          <w:b/>
          <w:bCs/>
          <w:sz w:val="20"/>
          <w:szCs w:val="20"/>
        </w:rPr>
        <w:t>Inactivation of an existing academic program or concentration</w:t>
      </w:r>
    </w:p>
    <w:p w14:paraId="0D5B4AE2" w14:textId="77777777" w:rsidR="0035784B" w:rsidRDefault="0035784B" w:rsidP="0035784B">
      <w:pPr>
        <w:spacing w:after="12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(If the inactivated program or concentration is not reactivated with a period of three (3) years, the academic program or concentration will automatically be terminated and removed from the API.) </w:t>
      </w:r>
    </w:p>
    <w:p w14:paraId="02547C7F" w14:textId="5C8FF256" w:rsidR="0035784B" w:rsidRP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Indicate if a program or concentration is being inactivated </w:t>
      </w:r>
      <w:r>
        <w:rPr>
          <w:rFonts w:ascii="Open Sans" w:hAnsi="Open Sans" w:cs="Open Sans"/>
          <w:i/>
          <w:iCs/>
          <w:sz w:val="20"/>
          <w:szCs w:val="20"/>
        </w:rPr>
        <w:t>(If inactivating an academic degree program, all concentrations will automatically be inactivated)</w:t>
      </w:r>
    </w:p>
    <w:p w14:paraId="1950BA57" w14:textId="77777777" w:rsidR="0035784B" w:rsidRPr="0035784B" w:rsidRDefault="0035784B" w:rsidP="0035784B">
      <w:pPr>
        <w:spacing w:after="120" w:line="240" w:lineRule="auto"/>
        <w:ind w:left="360"/>
        <w:rPr>
          <w:rFonts w:ascii="Open Sans" w:hAnsi="Open Sans" w:cs="Open Sans"/>
          <w:sz w:val="20"/>
          <w:szCs w:val="20"/>
        </w:rPr>
      </w:pPr>
    </w:p>
    <w:p w14:paraId="7E38D70B" w14:textId="463250FE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Number of students currently enrolled in the program/</w:t>
      </w:r>
      <w:proofErr w:type="gramStart"/>
      <w:r>
        <w:rPr>
          <w:rFonts w:ascii="Open Sans" w:hAnsi="Open Sans" w:cs="Open Sans"/>
          <w:sz w:val="20"/>
          <w:szCs w:val="20"/>
        </w:rPr>
        <w:t>concentration</w:t>
      </w:r>
      <w:proofErr w:type="gramEnd"/>
      <w:r>
        <w:rPr>
          <w:rFonts w:ascii="Open Sans" w:hAnsi="Open Sans" w:cs="Open Sans"/>
          <w:sz w:val="20"/>
          <w:szCs w:val="20"/>
        </w:rPr>
        <w:t xml:space="preserve"> </w:t>
      </w:r>
    </w:p>
    <w:p w14:paraId="7D4D42AB" w14:textId="77777777" w:rsidR="0035784B" w:rsidRPr="0035784B" w:rsidRDefault="0035784B" w:rsidP="0035784B">
      <w:pPr>
        <w:pStyle w:val="ListParagraph"/>
        <w:rPr>
          <w:rFonts w:ascii="Open Sans" w:hAnsi="Open Sans" w:cs="Open Sans"/>
          <w:sz w:val="20"/>
          <w:szCs w:val="20"/>
        </w:rPr>
      </w:pPr>
    </w:p>
    <w:p w14:paraId="1359F65E" w14:textId="77777777" w:rsidR="0035784B" w:rsidRDefault="0035784B" w:rsidP="0035784B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659EC911" w14:textId="4591B600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020000AF" w14:textId="5526F584" w:rsidR="0035784B" w:rsidRDefault="0035784B" w:rsidP="0035784B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52A5AEC8" w14:textId="77777777" w:rsidR="0035784B" w:rsidRDefault="0035784B" w:rsidP="0035784B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7947CB3" w14:textId="392F19BB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5EFAE410" w14:textId="77777777" w:rsidR="0035784B" w:rsidRDefault="0035784B" w:rsidP="0035784B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3680AB9B" w14:textId="5A0C1E71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Concentration title(s) for inactivation (when applicable)</w:t>
      </w:r>
    </w:p>
    <w:p w14:paraId="6806D640" w14:textId="77777777" w:rsidR="0035784B" w:rsidRPr="0035784B" w:rsidRDefault="0035784B" w:rsidP="0035784B">
      <w:pPr>
        <w:pStyle w:val="ListParagraph"/>
        <w:rPr>
          <w:rFonts w:ascii="Open Sans" w:hAnsi="Open Sans" w:cs="Open Sans"/>
          <w:sz w:val="20"/>
          <w:szCs w:val="20"/>
        </w:rPr>
      </w:pPr>
    </w:p>
    <w:p w14:paraId="1DF8ACB8" w14:textId="77777777" w:rsidR="0035784B" w:rsidRDefault="0035784B" w:rsidP="0035784B">
      <w:pPr>
        <w:pStyle w:val="ListParagraph"/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01442537" w14:textId="02884B58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Provide a brief rationale for inactivating the academic program or concentration(s). </w:t>
      </w:r>
    </w:p>
    <w:p w14:paraId="41BF19AE" w14:textId="531A7996" w:rsidR="0035784B" w:rsidRDefault="0035784B" w:rsidP="0035784B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39B76308" w14:textId="4B5F0731" w:rsidR="0035784B" w:rsidRDefault="0035784B" w:rsidP="0035784B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17A3C21D" w14:textId="005A87D0" w:rsidR="0035784B" w:rsidRDefault="0035784B" w:rsidP="0035784B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2C18EFA9" w14:textId="53AEE99B" w:rsidR="0035784B" w:rsidRDefault="0035784B" w:rsidP="0035784B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7844C4E9" w14:textId="77777777" w:rsidR="0035784B" w:rsidRPr="0035784B" w:rsidRDefault="0035784B" w:rsidP="0035784B">
      <w:pPr>
        <w:spacing w:after="120" w:line="240" w:lineRule="auto"/>
        <w:rPr>
          <w:rFonts w:ascii="Open Sans" w:hAnsi="Open Sans" w:cs="Open Sans"/>
          <w:sz w:val="20"/>
          <w:szCs w:val="20"/>
        </w:rPr>
      </w:pPr>
    </w:p>
    <w:p w14:paraId="2E546288" w14:textId="77777777" w:rsidR="0035784B" w:rsidRDefault="0035784B" w:rsidP="0035784B">
      <w:pPr>
        <w:pStyle w:val="ListParagraph"/>
        <w:numPr>
          <w:ilvl w:val="0"/>
          <w:numId w:val="6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 w:rsidRPr="002D2663">
        <w:rPr>
          <w:rFonts w:ascii="Open Sans" w:hAnsi="Open Sans" w:cs="Open Sans"/>
          <w:sz w:val="20"/>
          <w:szCs w:val="20"/>
        </w:rPr>
        <w:t xml:space="preserve">If there are any students currently in the program/concentration, notification of inactivation must be accompanied by a teach-out plan that details how the institution will accommodate affected </w:t>
      </w:r>
      <w:proofErr w:type="gramStart"/>
      <w:r w:rsidRPr="002D2663">
        <w:rPr>
          <w:rFonts w:ascii="Open Sans" w:hAnsi="Open Sans" w:cs="Open Sans"/>
          <w:sz w:val="20"/>
          <w:szCs w:val="20"/>
        </w:rPr>
        <w:t>students</w:t>
      </w:r>
      <w:proofErr w:type="gramEnd"/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5B06"/>
    <w:multiLevelType w:val="hybridMultilevel"/>
    <w:tmpl w:val="ADE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4"/>
  </w:num>
  <w:num w:numId="2" w16cid:durableId="215893970">
    <w:abstractNumId w:val="2"/>
  </w:num>
  <w:num w:numId="3" w16cid:durableId="2141537224">
    <w:abstractNumId w:val="6"/>
  </w:num>
  <w:num w:numId="4" w16cid:durableId="361588927">
    <w:abstractNumId w:val="5"/>
  </w:num>
  <w:num w:numId="5" w16cid:durableId="1301643220">
    <w:abstractNumId w:val="1"/>
  </w:num>
  <w:num w:numId="6" w16cid:durableId="944075226">
    <w:abstractNumId w:val="3"/>
  </w:num>
  <w:num w:numId="7" w16cid:durableId="159516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3041DB"/>
    <w:rsid w:val="0035784B"/>
    <w:rsid w:val="004A5529"/>
    <w:rsid w:val="009432EE"/>
    <w:rsid w:val="00A20DB9"/>
    <w:rsid w:val="00B246D9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2023-09-14T14:56:00Z</dcterms:created>
  <dcterms:modified xsi:type="dcterms:W3CDTF">2023-09-14T14:56:00Z</dcterms:modified>
</cp:coreProperties>
</file>